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98" w:rsidRPr="00BD197D" w:rsidRDefault="00BD197D" w:rsidP="00487398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lang w:eastAsia="pl-PL"/>
        </w:rPr>
      </w:pPr>
      <w:bookmarkStart w:id="0" w:name="_GoBack"/>
      <w:bookmarkEnd w:id="0"/>
      <w:r w:rsidRPr="00BD197D">
        <w:rPr>
          <w:rFonts w:asciiTheme="majorHAnsi" w:eastAsia="Times New Roman" w:hAnsiTheme="majorHAnsi" w:cs="Arial"/>
          <w:b/>
          <w:sz w:val="20"/>
          <w:lang w:eastAsia="pl-PL"/>
        </w:rPr>
        <w:t>Załącznik nr 1 d</w:t>
      </w:r>
      <w:r w:rsidR="00513DA9">
        <w:rPr>
          <w:rFonts w:asciiTheme="majorHAnsi" w:eastAsia="Times New Roman" w:hAnsiTheme="majorHAnsi" w:cs="Arial"/>
          <w:b/>
          <w:sz w:val="20"/>
          <w:lang w:eastAsia="pl-PL"/>
        </w:rPr>
        <w:t xml:space="preserve">o ogłoszenia o naborze </w:t>
      </w:r>
      <w:r w:rsidR="000F219E">
        <w:rPr>
          <w:rFonts w:asciiTheme="majorHAnsi" w:eastAsia="Times New Roman" w:hAnsiTheme="majorHAnsi" w:cs="Arial"/>
          <w:b/>
          <w:sz w:val="20"/>
          <w:lang w:eastAsia="pl-PL"/>
        </w:rPr>
        <w:t xml:space="preserve">wniosków </w:t>
      </w:r>
      <w:r w:rsidR="00513DA9">
        <w:rPr>
          <w:rFonts w:asciiTheme="majorHAnsi" w:eastAsia="Times New Roman" w:hAnsiTheme="majorHAnsi" w:cs="Arial"/>
          <w:b/>
          <w:sz w:val="20"/>
          <w:lang w:eastAsia="pl-PL"/>
        </w:rPr>
        <w:t xml:space="preserve">nr </w:t>
      </w:r>
      <w:r w:rsidR="003C28BB" w:rsidRPr="003C28BB">
        <w:rPr>
          <w:rFonts w:asciiTheme="majorHAnsi" w:eastAsia="Times New Roman" w:hAnsiTheme="majorHAnsi" w:cs="Arial"/>
          <w:b/>
          <w:sz w:val="20"/>
          <w:lang w:eastAsia="pl-PL"/>
        </w:rPr>
        <w:t xml:space="preserve">4/2018/R </w:t>
      </w:r>
      <w:r w:rsidRPr="00BD197D">
        <w:rPr>
          <w:rFonts w:asciiTheme="majorHAnsi" w:eastAsia="Times New Roman" w:hAnsiTheme="majorHAnsi" w:cs="Arial"/>
          <w:b/>
          <w:sz w:val="20"/>
          <w:lang w:eastAsia="pl-PL"/>
        </w:rPr>
        <w:t xml:space="preserve">z dnia </w:t>
      </w:r>
      <w:r w:rsidR="003C28BB">
        <w:rPr>
          <w:rFonts w:asciiTheme="majorHAnsi" w:eastAsia="Times New Roman" w:hAnsiTheme="majorHAnsi" w:cs="Arial"/>
          <w:b/>
          <w:sz w:val="20"/>
          <w:lang w:eastAsia="pl-PL"/>
        </w:rPr>
        <w:t>5 listopada</w:t>
      </w:r>
      <w:r w:rsidRPr="00BD197D">
        <w:rPr>
          <w:rFonts w:asciiTheme="majorHAnsi" w:eastAsia="Times New Roman" w:hAnsiTheme="majorHAnsi" w:cs="Arial"/>
          <w:b/>
          <w:sz w:val="20"/>
          <w:lang w:eastAsia="pl-PL"/>
        </w:rPr>
        <w:t xml:space="preserve"> 2018r.</w:t>
      </w:r>
    </w:p>
    <w:p w:rsidR="00BD197D" w:rsidRDefault="00BD197D" w:rsidP="00487398">
      <w:pPr>
        <w:spacing w:after="0" w:line="240" w:lineRule="auto"/>
        <w:jc w:val="both"/>
        <w:rPr>
          <w:rFonts w:asciiTheme="majorHAnsi" w:eastAsia="Times New Roman" w:hAnsiTheme="majorHAnsi" w:cs="Arial"/>
          <w:b/>
          <w:lang w:eastAsia="pl-PL"/>
        </w:rPr>
      </w:pPr>
    </w:p>
    <w:p w:rsidR="00BD197D" w:rsidRPr="00BD197D" w:rsidRDefault="00BD197D" w:rsidP="00BD197D">
      <w:pPr>
        <w:spacing w:after="0"/>
        <w:jc w:val="center"/>
        <w:rPr>
          <w:rFonts w:asciiTheme="majorHAnsi" w:hAnsiTheme="majorHAnsi" w:cs="Arial"/>
          <w:b/>
        </w:rPr>
      </w:pPr>
      <w:r w:rsidRPr="00BD197D">
        <w:rPr>
          <w:rFonts w:asciiTheme="majorHAnsi" w:hAnsiTheme="majorHAnsi" w:cs="Arial"/>
          <w:b/>
        </w:rPr>
        <w:t>Kryteria zgodności operacji z LSR i kryteria wyboru operacji w ramach Lokalnej Strategii Rozwoju Słowińskiej Grupy Rybackiej wraz ze wskazaniem minimalnej liczby punktów, których uzyskanie jest warunkiem wyboru operacji.</w:t>
      </w:r>
    </w:p>
    <w:p w:rsidR="00BD197D" w:rsidRDefault="00BD197D" w:rsidP="00BD197D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18"/>
          <w:lang w:eastAsia="pl-PL"/>
        </w:rPr>
      </w:pPr>
    </w:p>
    <w:p w:rsidR="00BD197D" w:rsidRDefault="00BD197D" w:rsidP="00BD197D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18"/>
          <w:lang w:eastAsia="pl-PL"/>
        </w:rPr>
      </w:pPr>
    </w:p>
    <w:p w:rsidR="00BD197D" w:rsidRDefault="00BD197D" w:rsidP="00BD197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b/>
          <w:sz w:val="20"/>
          <w:lang w:eastAsia="pl-PL"/>
        </w:rPr>
      </w:pPr>
      <w:r w:rsidRPr="00BD197D">
        <w:rPr>
          <w:rFonts w:asciiTheme="majorHAnsi" w:eastAsia="Times New Roman" w:hAnsiTheme="majorHAnsi" w:cs="Arial"/>
          <w:b/>
          <w:sz w:val="20"/>
          <w:lang w:eastAsia="pl-PL"/>
        </w:rPr>
        <w:t>Kryteria oceny wstępnej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40"/>
      </w:tblGrid>
      <w:tr w:rsidR="003C28BB" w:rsidRPr="005A5565" w:rsidTr="003C28BB">
        <w:trPr>
          <w:trHeight w:val="465"/>
          <w:tblHeader/>
        </w:trPr>
        <w:tc>
          <w:tcPr>
            <w:tcW w:w="96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C28BB" w:rsidRPr="003C28BB" w:rsidRDefault="003C28BB" w:rsidP="00CF7CD7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 xml:space="preserve">Kryterium </w:t>
            </w:r>
          </w:p>
        </w:tc>
      </w:tr>
      <w:tr w:rsidR="003C28BB" w:rsidRPr="005A5565" w:rsidTr="003C28BB">
        <w:trPr>
          <w:trHeight w:val="539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Operacja została złożona w miejscu i terminie, który został wskazany w ogłoszeniu o naborze wniosków o udzielenie wsparcia.</w:t>
            </w:r>
          </w:p>
        </w:tc>
      </w:tr>
      <w:tr w:rsidR="003C28BB" w:rsidRPr="005A5565" w:rsidTr="003C28BB">
        <w:trPr>
          <w:trHeight w:val="674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: Operacja została złożona w miejscu i terminie wskazanym w ogłoszeniu o naborze wniosków o udzielenie wsparcia, </w:t>
            </w:r>
          </w:p>
          <w:p w:rsidR="003C28BB" w:rsidRPr="003C28BB" w:rsidRDefault="003C28BB" w:rsidP="003C28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tj. </w:t>
            </w: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do dnia 17 grudnia 2018r. do godz. 15:30</w:t>
            </w:r>
          </w:p>
        </w:tc>
      </w:tr>
      <w:tr w:rsidR="003C28BB" w:rsidRPr="005A5565" w:rsidTr="003C28BB">
        <w:trPr>
          <w:trHeight w:val="459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Operacja jest zgodna z zakresem tematycznym, który został wskazany w ogłoszeniu o naborze wniosków o udzielenie wsparcia.</w:t>
            </w:r>
          </w:p>
        </w:tc>
      </w:tr>
      <w:tr w:rsidR="003C28BB" w:rsidRPr="005A5565" w:rsidTr="003C28BB">
        <w:trPr>
          <w:trHeight w:val="819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: Zakres tematyczny wskazany w ogłoszeniu o naborze wniosków o udzielenie wsparcia:</w:t>
            </w:r>
          </w:p>
          <w:p w:rsidR="003C28BB" w:rsidRPr="00E03C00" w:rsidRDefault="00E03C00" w:rsidP="003C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E03C00">
              <w:rPr>
                <w:rFonts w:asciiTheme="majorHAnsi" w:hAnsiTheme="majorHAnsi" w:cs="Arial"/>
                <w:b/>
                <w:sz w:val="20"/>
                <w:szCs w:val="20"/>
              </w:rPr>
              <w:t>Promowanie i zachowanie rybackiego charakteru obszaru, w tym: tworzenie gier, zabaw i innych innowacyjnych produktów edukacyjnych związanych z rybołówstwem, rybactwem śródlądowym, akwakulturą i sektorem okołorybackim, edukacja morska i żeglarska zgodny z zakresem ujętym w § 2 pkt 4. i § 7 pkt. 1 lit. b Rozporządzenia MGMiŻŚ z dnia 6 września 2016r</w:t>
            </w:r>
            <w:r w:rsidRPr="00E03C00">
              <w:rPr>
                <w:rFonts w:asciiTheme="majorHAnsi" w:hAnsiTheme="majorHAnsi" w:cs="Arial"/>
                <w:b/>
                <w:i/>
                <w:sz w:val="20"/>
                <w:szCs w:val="20"/>
              </w:rPr>
              <w:t>.</w:t>
            </w:r>
            <w:r w:rsidRPr="00E03C00">
              <w:rPr>
                <w:rFonts w:asciiTheme="majorHAnsi" w:hAnsiTheme="majorHAnsi" w:cs="Arial"/>
                <w:b/>
                <w:sz w:val="20"/>
                <w:szCs w:val="20"/>
              </w:rPr>
              <w:t xml:space="preserve"> z poźn. zm. (</w:t>
            </w:r>
            <w:r w:rsidRPr="00E03C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Dz.U. 2016 poz. 1435)</w:t>
            </w:r>
            <w:r w:rsidRPr="00E03C00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  <w:tr w:rsidR="003C28BB" w:rsidRPr="005A5565" w:rsidTr="00647A83">
        <w:trPr>
          <w:trHeight w:val="354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Operacja jest zgodna z formą wsparcia wskazaną w ogłoszeniu o naborze.</w:t>
            </w:r>
          </w:p>
        </w:tc>
      </w:tr>
      <w:tr w:rsidR="003C28BB" w:rsidRPr="005A5565" w:rsidTr="00647A83">
        <w:trPr>
          <w:trHeight w:val="432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3C28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: Forma wsparcia wskazana w ogłoszeniu o naborze: </w:t>
            </w: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refundacja</w:t>
            </w:r>
          </w:p>
        </w:tc>
      </w:tr>
      <w:tr w:rsidR="003C28BB" w:rsidRPr="005A5565" w:rsidTr="00647A83">
        <w:trPr>
          <w:trHeight w:val="282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Dodatkowe warunki udzielenia wsparcia.</w:t>
            </w:r>
          </w:p>
        </w:tc>
      </w:tr>
      <w:tr w:rsidR="003C28BB" w:rsidRPr="005A5565" w:rsidTr="003C28BB">
        <w:trPr>
          <w:trHeight w:val="248"/>
        </w:trPr>
        <w:tc>
          <w:tcPr>
            <w:tcW w:w="9640" w:type="dxa"/>
            <w:tcBorders>
              <w:top w:val="dotted" w:sz="4" w:space="0" w:color="auto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: Wnioskodawca wykazał spełnienie dodatkowych warunków udzielenia wsparcia</w:t>
            </w:r>
          </w:p>
        </w:tc>
      </w:tr>
    </w:tbl>
    <w:p w:rsidR="00BD197D" w:rsidRPr="00BD197D" w:rsidRDefault="00BD197D" w:rsidP="00BD197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lang w:eastAsia="pl-PL"/>
        </w:rPr>
      </w:pPr>
    </w:p>
    <w:p w:rsidR="00BD197D" w:rsidRPr="00647A83" w:rsidRDefault="00BD197D" w:rsidP="00647A83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b/>
          <w:sz w:val="20"/>
          <w:lang w:eastAsia="pl-PL"/>
        </w:rPr>
      </w:pPr>
      <w:r w:rsidRPr="00BD197D">
        <w:rPr>
          <w:rFonts w:asciiTheme="majorHAnsi" w:eastAsia="Times New Roman" w:hAnsiTheme="majorHAnsi" w:cs="Arial"/>
          <w:b/>
          <w:sz w:val="20"/>
          <w:lang w:eastAsia="pl-PL"/>
        </w:rPr>
        <w:t>Kryteria oceny zgodności</w:t>
      </w:r>
      <w:r w:rsidR="002B4DD2">
        <w:rPr>
          <w:rFonts w:asciiTheme="majorHAnsi" w:eastAsia="Times New Roman" w:hAnsiTheme="majorHAnsi" w:cs="Arial"/>
          <w:b/>
          <w:sz w:val="20"/>
          <w:lang w:eastAsia="pl-PL"/>
        </w:rPr>
        <w:t xml:space="preserve"> z Lokalną</w:t>
      </w:r>
      <w:r>
        <w:rPr>
          <w:rFonts w:asciiTheme="majorHAnsi" w:eastAsia="Times New Roman" w:hAnsiTheme="majorHAnsi" w:cs="Arial"/>
          <w:b/>
          <w:sz w:val="20"/>
          <w:lang w:eastAsia="pl-PL"/>
        </w:rPr>
        <w:t xml:space="preserve"> Strategią Rozwoju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C28BB" w:rsidRPr="005A5565" w:rsidTr="003C28BB">
        <w:trPr>
          <w:trHeight w:val="133"/>
          <w:tblHeader/>
        </w:trPr>
        <w:tc>
          <w:tcPr>
            <w:tcW w:w="96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C28BB" w:rsidRPr="003C28BB" w:rsidRDefault="003C28BB" w:rsidP="003C28BB">
            <w:pPr>
              <w:spacing w:after="0" w:line="240" w:lineRule="auto"/>
              <w:ind w:left="601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 xml:space="preserve">Kryterium </w:t>
            </w:r>
          </w:p>
        </w:tc>
      </w:tr>
      <w:tr w:rsidR="003C28BB" w:rsidRPr="005A5565" w:rsidTr="003C28BB">
        <w:trPr>
          <w:trHeight w:val="459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647A8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Operacja zakłada realizację celów głównych i szczegółowych LSR, poprzez osiąganie zaplanowanych w LSR wskaźników.</w:t>
            </w:r>
          </w:p>
        </w:tc>
      </w:tr>
      <w:tr w:rsidR="003C28BB" w:rsidRPr="005A5565" w:rsidTr="003C28BB">
        <w:trPr>
          <w:trHeight w:val="182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647A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: Operacja przyczyni się do osiągnięcia przynajmniej jednego wskaźnika rezultatu określonego w LSR dla:</w:t>
            </w:r>
          </w:p>
          <w:p w:rsidR="003C28BB" w:rsidRPr="003C28BB" w:rsidRDefault="003C28BB" w:rsidP="00647A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Celu Szczegółowego</w:t>
            </w:r>
            <w:r w:rsidR="00417832" w:rsidRPr="00417832">
              <w:rPr>
                <w:rFonts w:asciiTheme="majorHAnsi" w:eastAsia="Calibri" w:hAnsiTheme="majorHAnsi" w:cs="Times New Roman"/>
                <w:sz w:val="20"/>
                <w:szCs w:val="20"/>
              </w:rPr>
              <w:t>: 1.2. Zachowanie dziedzictwa i kształtowanie tożsamości lokalnej</w:t>
            </w:r>
          </w:p>
          <w:p w:rsidR="003C28BB" w:rsidRPr="003C28BB" w:rsidRDefault="003C28BB" w:rsidP="00647A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Przedsięwzięcia</w:t>
            </w:r>
            <w:r w:rsidR="00417832">
              <w:rPr>
                <w:rFonts w:asciiTheme="majorHAnsi" w:eastAsia="Calibri" w:hAnsiTheme="majorHAnsi" w:cs="Times New Roman"/>
                <w:sz w:val="20"/>
                <w:szCs w:val="20"/>
              </w:rPr>
              <w:t>: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417832" w:rsidRPr="00417832">
              <w:rPr>
                <w:rFonts w:asciiTheme="majorHAnsi" w:eastAsia="Calibri" w:hAnsiTheme="majorHAnsi" w:cs="Times New Roman"/>
                <w:sz w:val="20"/>
                <w:szCs w:val="20"/>
              </w:rPr>
              <w:t>1.2.2. Promowanie i zachowanie rybackiego charakteru obszaru.</w:t>
            </w:r>
          </w:p>
          <w:p w:rsidR="003C28BB" w:rsidRPr="00647A83" w:rsidRDefault="003C28BB" w:rsidP="00647A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tj.:</w:t>
            </w:r>
            <w:r w:rsidR="00647A83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32583E" w:rsidRPr="0032583E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liczba odbiorców działań edukacyjnych związanych z lokalnymi zasobami</w:t>
            </w:r>
          </w:p>
        </w:tc>
      </w:tr>
      <w:tr w:rsidR="003C28BB" w:rsidRPr="005A5565" w:rsidTr="00483566">
        <w:trPr>
          <w:trHeight w:val="125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647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Operacja jest zgodna z Programem Operacyjnym Rybactwo i Morze 2014-2020.</w:t>
            </w:r>
          </w:p>
        </w:tc>
      </w:tr>
      <w:tr w:rsidR="003C28BB" w:rsidRPr="005A5565" w:rsidTr="003C28BB">
        <w:trPr>
          <w:trHeight w:val="268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417832" w:rsidRDefault="003C28BB" w:rsidP="00647A83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highlight w:val="yellow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 1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: Operacja przyczyni się do osiągnięcia celu</w:t>
            </w:r>
            <w:r w:rsidR="00647A83">
              <w:rPr>
                <w:rFonts w:asciiTheme="majorHAnsi" w:eastAsia="Calibri" w:hAnsiTheme="majorHAnsi" w:cs="Times New Roman"/>
                <w:sz w:val="20"/>
                <w:szCs w:val="20"/>
              </w:rPr>
              <w:t>: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647A83" w:rsidRPr="00647A83">
              <w:rPr>
                <w:rFonts w:asciiTheme="majorHAnsi" w:eastAsia="Calibri" w:hAnsiTheme="majorHAnsi" w:cs="Times New Roman"/>
                <w:sz w:val="20"/>
                <w:szCs w:val="20"/>
              </w:rPr>
              <w:t>Promowanie wzrostu gospodarczego, włączenia społecznego, tworzenia miejsc pracy oraz wspierania zdolności do zatrudnienia i mobilności na rynku pracy w społeczności obszarów przybrzeżnych i śródlądowych zależnych od rybołówstwa i akwakultury, w tym dywersyfikacja działalności w ramach rybołówstwa, a także w kierunku innych sektorów gospodarki morskiej</w:t>
            </w:r>
          </w:p>
          <w:p w:rsidR="003C28BB" w:rsidRPr="003C28BB" w:rsidRDefault="003C28BB" w:rsidP="00647A83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647A83">
              <w:rPr>
                <w:rFonts w:asciiTheme="majorHAnsi" w:eastAsia="Calibri" w:hAnsiTheme="majorHAnsi" w:cs="Times New Roman"/>
                <w:sz w:val="20"/>
                <w:szCs w:val="20"/>
              </w:rPr>
              <w:t>Programu Operacyjnego Rybactwo i Morze 2014-2020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3C28BB" w:rsidRPr="005A5565" w:rsidTr="003C28BB">
        <w:trPr>
          <w:trHeight w:val="268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647A83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 2: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Operacja przyczyni się do utworzenia lub utrzymania co najmniej jednego miejsca pracy lub do podjęcia działalności gospodarczej w rozumieniu przepisów o swobodzie działalności gospodarczej – jeśli dotyczy</w:t>
            </w:r>
          </w:p>
        </w:tc>
      </w:tr>
      <w:tr w:rsidR="003C28BB" w:rsidRPr="005A5565" w:rsidTr="003C28BB">
        <w:trPr>
          <w:trHeight w:val="830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647A83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lastRenderedPageBreak/>
              <w:t>Definicja 3: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 Operacja ma co najmniej neutralny wpływ na zasadę równouprawnienia mężczyzn i kobiet oraz niedyskryminację, dostępność dla osób niepełnosprawnych oraz zrównoważony rozwój.</w:t>
            </w:r>
          </w:p>
          <w:p w:rsidR="003C28BB" w:rsidRPr="003C28BB" w:rsidRDefault="003C28BB" w:rsidP="00483566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Sposób weryfikacji: oświadczenie wnioskodawcy</w:t>
            </w:r>
          </w:p>
        </w:tc>
      </w:tr>
      <w:tr w:rsidR="003C28BB" w:rsidRPr="005A5565" w:rsidTr="003C28BB">
        <w:trPr>
          <w:trHeight w:val="268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647A83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 4: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na dzień złożenia wniosku o dofinansowanie operacja posiada zaplanowane do realizacji zadania w zestawieniu rzeczowo – finansowym, które nie zostały zakończone.</w:t>
            </w:r>
          </w:p>
          <w:p w:rsidR="003C28BB" w:rsidRPr="003C28BB" w:rsidRDefault="003C28BB" w:rsidP="00647A83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Sposób weryfikacji: oświadczenie wnioskodawcy</w:t>
            </w:r>
          </w:p>
        </w:tc>
      </w:tr>
      <w:tr w:rsidR="003C28BB" w:rsidRPr="005A5565" w:rsidTr="003C28BB">
        <w:trPr>
          <w:trHeight w:val="305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647A8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Lokalizacja operacji na obszarze gmin objętych LSR.</w:t>
            </w:r>
          </w:p>
        </w:tc>
      </w:tr>
      <w:tr w:rsidR="003C28BB" w:rsidRPr="005A5565" w:rsidTr="003C28BB">
        <w:trPr>
          <w:trHeight w:val="767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647A83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: Lokalizacja operacji na obszarze gmin objętych LSR oznacza, realizację operacji na terenie minimum jednej spośród gmin: Kępice, Kobylnica, Słupsk, Smołdzino, Miasto Ustka, Ustka</w:t>
            </w:r>
          </w:p>
        </w:tc>
      </w:tr>
      <w:tr w:rsidR="003C28BB" w:rsidRPr="005A5565" w:rsidTr="003C28BB">
        <w:trPr>
          <w:trHeight w:val="242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647A8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Wnioskodawca jest uprawniony do uzyskania wsparcia.</w:t>
            </w:r>
          </w:p>
        </w:tc>
      </w:tr>
      <w:tr w:rsidR="003C28BB" w:rsidRPr="005A5565" w:rsidTr="003C28BB">
        <w:trPr>
          <w:trHeight w:val="899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647A83" w:rsidRDefault="003C28BB" w:rsidP="00647A83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16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16"/>
              </w:rPr>
              <w:t>: Do uzyskania wsparcia w ramach celu szczegółowego nr</w:t>
            </w:r>
            <w:r w:rsidR="00417832">
              <w:rPr>
                <w:rFonts w:asciiTheme="majorHAnsi" w:eastAsia="Calibri" w:hAnsiTheme="majorHAnsi" w:cs="Times New Roman"/>
                <w:sz w:val="20"/>
                <w:szCs w:val="16"/>
              </w:rPr>
              <w:t xml:space="preserve"> </w:t>
            </w:r>
            <w:r w:rsidR="00483566" w:rsidRPr="00483566">
              <w:rPr>
                <w:rFonts w:asciiTheme="majorHAnsi" w:eastAsia="Calibri" w:hAnsiTheme="majorHAnsi" w:cs="Times New Roman"/>
                <w:sz w:val="20"/>
                <w:szCs w:val="16"/>
              </w:rPr>
              <w:t>1.2. Zachowanie dziedzictwa i kształtowanie tożsamości lokalnej</w:t>
            </w:r>
            <w:r w:rsidR="00483566">
              <w:rPr>
                <w:rFonts w:asciiTheme="majorHAnsi" w:eastAsia="Calibri" w:hAnsiTheme="majorHAnsi" w:cs="Times New Roman"/>
                <w:sz w:val="20"/>
                <w:szCs w:val="16"/>
              </w:rPr>
              <w:t xml:space="preserve"> </w:t>
            </w:r>
            <w:r w:rsidRPr="00647A83">
              <w:rPr>
                <w:rFonts w:asciiTheme="majorHAnsi" w:eastAsia="Calibri" w:hAnsiTheme="majorHAnsi" w:cs="Times New Roman"/>
                <w:sz w:val="20"/>
                <w:szCs w:val="16"/>
              </w:rPr>
              <w:t>uprawniony jest wnioskodawca określony w art. 11 pkt 1 ustawy z dnia 10 lipca 2015r. o wspieraniu zrównoważonego rozwoju sektora rybackiego z udziałem Europejskiego Funduszu Morskiego i Rybackiego (Dz.U. poz. 1358)</w:t>
            </w:r>
            <w:r w:rsidR="00647A83" w:rsidRPr="00647A83">
              <w:rPr>
                <w:rFonts w:asciiTheme="majorHAnsi" w:eastAsia="Calibri" w:hAnsiTheme="majorHAnsi" w:cs="Times New Roman"/>
                <w:sz w:val="20"/>
                <w:szCs w:val="16"/>
              </w:rPr>
              <w:t xml:space="preserve"> będący:</w:t>
            </w:r>
          </w:p>
          <w:p w:rsidR="00647A83" w:rsidRPr="00647A83" w:rsidRDefault="00647A83" w:rsidP="00647A8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Theme="majorHAnsi" w:eastAsia="Calibri" w:hAnsiTheme="majorHAnsi" w:cs="Times New Roman"/>
                <w:b/>
                <w:sz w:val="20"/>
                <w:szCs w:val="16"/>
              </w:rPr>
            </w:pPr>
            <w:r w:rsidRPr="00647A83">
              <w:rPr>
                <w:rFonts w:asciiTheme="majorHAnsi" w:eastAsia="Calibri" w:hAnsiTheme="majorHAnsi" w:cs="Times New Roman"/>
                <w:b/>
                <w:sz w:val="20"/>
                <w:szCs w:val="16"/>
              </w:rPr>
              <w:t>jednostką samorządu terytorialnego lub</w:t>
            </w:r>
          </w:p>
          <w:p w:rsidR="00647A83" w:rsidRPr="00647A83" w:rsidRDefault="00647A83" w:rsidP="00647A8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Theme="majorHAnsi" w:eastAsia="Calibri" w:hAnsiTheme="majorHAnsi" w:cs="Times New Roman"/>
                <w:b/>
                <w:sz w:val="20"/>
                <w:szCs w:val="16"/>
              </w:rPr>
            </w:pPr>
            <w:r w:rsidRPr="00647A83">
              <w:rPr>
                <w:rFonts w:asciiTheme="majorHAnsi" w:eastAsia="Calibri" w:hAnsiTheme="majorHAnsi" w:cs="Times New Roman"/>
                <w:b/>
                <w:sz w:val="20"/>
                <w:szCs w:val="16"/>
              </w:rPr>
              <w:t>jednostką organizacyjną podległą jednostkom samorządu terytorialnego, lub</w:t>
            </w:r>
          </w:p>
          <w:p w:rsidR="003C28BB" w:rsidRPr="00647A83" w:rsidRDefault="00647A83" w:rsidP="00647A8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Theme="majorHAnsi" w:eastAsia="Calibri" w:hAnsiTheme="majorHAnsi" w:cs="Times New Roman"/>
                <w:b/>
                <w:sz w:val="20"/>
                <w:szCs w:val="16"/>
              </w:rPr>
            </w:pPr>
            <w:r w:rsidRPr="00647A83">
              <w:rPr>
                <w:rFonts w:asciiTheme="majorHAnsi" w:eastAsia="Calibri" w:hAnsiTheme="majorHAnsi" w:cs="Times New Roman"/>
                <w:b/>
                <w:sz w:val="20"/>
                <w:szCs w:val="16"/>
              </w:rPr>
              <w:t>organizacją pozarządową w rozumieniu przepisów o działalności pożytku publicznego i wolontariacie, których celem statutowym jest działalność na rzecz rozwoju sektora rybołówstwa i akwakultury.</w:t>
            </w:r>
          </w:p>
        </w:tc>
      </w:tr>
    </w:tbl>
    <w:p w:rsidR="002B4DD2" w:rsidRDefault="002B4DD2" w:rsidP="002B4DD2"/>
    <w:p w:rsidR="002B4DD2" w:rsidRDefault="002B4DD2" w:rsidP="002B4DD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b/>
          <w:sz w:val="20"/>
          <w:lang w:eastAsia="pl-PL"/>
        </w:rPr>
      </w:pPr>
      <w:r w:rsidRPr="00BD197D">
        <w:rPr>
          <w:rFonts w:asciiTheme="majorHAnsi" w:eastAsia="Times New Roman" w:hAnsiTheme="majorHAnsi" w:cs="Arial"/>
          <w:b/>
          <w:sz w:val="20"/>
          <w:lang w:eastAsia="pl-PL"/>
        </w:rPr>
        <w:t>Kryteria ustalenia kwoty wsparcia</w:t>
      </w:r>
    </w:p>
    <w:p w:rsidR="002B4DD2" w:rsidRDefault="002B4DD2" w:rsidP="002B4DD2">
      <w:pPr>
        <w:pStyle w:val="Akapitzlist"/>
        <w:spacing w:after="0" w:line="240" w:lineRule="auto"/>
        <w:ind w:left="284"/>
        <w:jc w:val="both"/>
        <w:rPr>
          <w:rFonts w:asciiTheme="majorHAnsi" w:eastAsia="Times New Roman" w:hAnsiTheme="majorHAnsi" w:cs="Arial"/>
          <w:b/>
          <w:sz w:val="20"/>
          <w:lang w:eastAsia="pl-PL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C28BB" w:rsidRPr="005A5565" w:rsidTr="003C28BB">
        <w:trPr>
          <w:trHeight w:val="448"/>
        </w:trPr>
        <w:tc>
          <w:tcPr>
            <w:tcW w:w="964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Kryterium</w:t>
            </w:r>
          </w:p>
        </w:tc>
      </w:tr>
      <w:tr w:rsidR="003C28BB" w:rsidRPr="005A5565" w:rsidTr="003C28BB">
        <w:trPr>
          <w:trHeight w:val="448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Wnioskowana kwota pomocy na realizację operacji mieści się w limicie środków finansowych na jednego wnioskodawcę.</w:t>
            </w:r>
          </w:p>
        </w:tc>
      </w:tr>
      <w:tr w:rsidR="003C28BB" w:rsidRPr="005A5565" w:rsidTr="003C28BB">
        <w:trPr>
          <w:trHeight w:val="847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3C28BB" w:rsidRDefault="003C28BB" w:rsidP="006350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: Pomoc na realizację operacji w ramach Przedsięwzięcia:</w:t>
            </w:r>
            <w:r w:rsidR="00483566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635035" w:rsidRPr="00635035">
              <w:rPr>
                <w:rFonts w:asciiTheme="majorHAnsi" w:eastAsia="Calibri" w:hAnsiTheme="majorHAnsi" w:cs="Times New Roman"/>
                <w:sz w:val="20"/>
                <w:szCs w:val="20"/>
              </w:rPr>
              <w:t>1.2.2. Promowanie i zachowanie rybackiego charakteru obszaru</w:t>
            </w:r>
            <w:r w:rsidRPr="00635035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przyznaje się do wysokości limitu, który w ramach realizacji Programu wynosi</w:t>
            </w:r>
            <w:r w:rsidR="00635035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635035" w:rsidRPr="00635035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300 000,00zł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na jednego beneficjenta.</w:t>
            </w:r>
          </w:p>
        </w:tc>
      </w:tr>
      <w:tr w:rsidR="003C28BB" w:rsidRPr="005A5565" w:rsidTr="003C28BB">
        <w:trPr>
          <w:trHeight w:val="629"/>
        </w:trPr>
        <w:tc>
          <w:tcPr>
            <w:tcW w:w="9640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 xml:space="preserve">Wnioskowana kwota na realizację operacji nie przekracza maksymalnej kwoty wsparcia dla operacji w ramach przedsięwzięcia (w tym określonej w LSR wysokości premii). </w:t>
            </w:r>
          </w:p>
        </w:tc>
      </w:tr>
      <w:tr w:rsidR="003C28BB" w:rsidRPr="005A5565" w:rsidTr="003C28BB">
        <w:trPr>
          <w:trHeight w:val="847"/>
        </w:trPr>
        <w:tc>
          <w:tcPr>
            <w:tcW w:w="964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3C28BB" w:rsidRPr="00483566" w:rsidRDefault="003C28BB" w:rsidP="004835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: Pomoc na realizację operacji w ramach Przedsięwzięcia:</w:t>
            </w:r>
            <w:r w:rsidR="00483566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635035" w:rsidRPr="00635035">
              <w:rPr>
                <w:rFonts w:asciiTheme="majorHAnsi" w:eastAsia="Calibri" w:hAnsiTheme="majorHAnsi" w:cs="Times New Roman"/>
                <w:sz w:val="20"/>
                <w:szCs w:val="20"/>
              </w:rPr>
              <w:t>1.2.2. Promowanie i zachowanie rybackiego charakteru obszaru</w:t>
            </w:r>
            <w:r w:rsidR="00483566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przyznaje się do wysokości </w:t>
            </w:r>
            <w:r w:rsidR="00635035" w:rsidRPr="00635035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25 000,00</w:t>
            </w:r>
            <w:r w:rsidRPr="00635035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zł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. </w:t>
            </w:r>
          </w:p>
        </w:tc>
      </w:tr>
      <w:tr w:rsidR="003C28BB" w:rsidRPr="005A5565" w:rsidTr="00483566">
        <w:trPr>
          <w:trHeight w:val="558"/>
        </w:trPr>
        <w:tc>
          <w:tcPr>
            <w:tcW w:w="9640" w:type="dxa"/>
            <w:tcBorders>
              <w:bottom w:val="dotted" w:sz="4" w:space="0" w:color="auto"/>
            </w:tcBorders>
            <w:vAlign w:val="center"/>
          </w:tcPr>
          <w:p w:rsidR="003C28BB" w:rsidRPr="003C28BB" w:rsidRDefault="003C28BB" w:rsidP="00CF7CD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Wnioskowana intensywność pomocy na realizacj</w:t>
            </w:r>
            <w:r w:rsidR="00635035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 xml:space="preserve">ę </w:t>
            </w:r>
            <w:r w:rsidRPr="003C28B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operacji nie przekracza maksymalnego poziomu intensywności wsparcia dla przedsięwzięcia.</w:t>
            </w:r>
          </w:p>
        </w:tc>
      </w:tr>
      <w:tr w:rsidR="003C28BB" w:rsidRPr="005A5565" w:rsidTr="00483566">
        <w:trPr>
          <w:trHeight w:val="256"/>
        </w:trPr>
        <w:tc>
          <w:tcPr>
            <w:tcW w:w="96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28BB" w:rsidRPr="00483566" w:rsidRDefault="003C28BB" w:rsidP="00635035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>: Pomoc na realizację operacji w ramach w ramach Przedsięwzięcia:</w:t>
            </w:r>
            <w:r w:rsidR="00483566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635035" w:rsidRPr="00635035">
              <w:rPr>
                <w:rFonts w:asciiTheme="majorHAnsi" w:eastAsia="Calibri" w:hAnsiTheme="majorHAnsi" w:cs="Times New Roman"/>
                <w:sz w:val="20"/>
                <w:szCs w:val="20"/>
              </w:rPr>
              <w:t>1.2.2. Promowanie i zachowanie rybackiego charakteru obszaru</w:t>
            </w:r>
            <w:r w:rsidR="00483566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3C28BB">
              <w:rPr>
                <w:rFonts w:asciiTheme="majorHAnsi" w:hAnsiTheme="majorHAnsi"/>
                <w:sz w:val="20"/>
                <w:szCs w:val="20"/>
              </w:rPr>
              <w:t>prz</w:t>
            </w:r>
            <w:r w:rsidR="00635035">
              <w:rPr>
                <w:rFonts w:asciiTheme="majorHAnsi" w:hAnsiTheme="majorHAnsi"/>
                <w:sz w:val="20"/>
                <w:szCs w:val="20"/>
              </w:rPr>
              <w:t xml:space="preserve">yznaje się do wysokości limitu – </w:t>
            </w:r>
            <w:r w:rsidR="00635035" w:rsidRPr="00635035">
              <w:rPr>
                <w:rFonts w:asciiTheme="majorHAnsi" w:hAnsiTheme="majorHAnsi"/>
                <w:b/>
                <w:sz w:val="20"/>
                <w:szCs w:val="20"/>
              </w:rPr>
              <w:t>85%</w:t>
            </w:r>
            <w:r w:rsidR="0063503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3C28BB" w:rsidRPr="005A5565" w:rsidTr="003C28BB">
        <w:trPr>
          <w:trHeight w:val="161"/>
        </w:trPr>
        <w:tc>
          <w:tcPr>
            <w:tcW w:w="96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28BB" w:rsidRPr="003C28BB" w:rsidRDefault="003C28BB" w:rsidP="00CF7CD7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3C28BB">
              <w:rPr>
                <w:rFonts w:asciiTheme="majorHAnsi" w:hAnsiTheme="majorHAnsi"/>
                <w:b/>
                <w:sz w:val="20"/>
                <w:szCs w:val="20"/>
              </w:rPr>
              <w:t>Wnioskowana/ustalona kwota wsparcia mieści się w limicie środków w ogłoszonym konkursie*</w:t>
            </w:r>
          </w:p>
        </w:tc>
      </w:tr>
      <w:tr w:rsidR="003C28BB" w:rsidRPr="005A5565" w:rsidTr="003C28BB">
        <w:trPr>
          <w:trHeight w:val="334"/>
        </w:trPr>
        <w:tc>
          <w:tcPr>
            <w:tcW w:w="9640" w:type="dxa"/>
            <w:tcBorders>
              <w:top w:val="dotted" w:sz="4" w:space="0" w:color="auto"/>
            </w:tcBorders>
            <w:vAlign w:val="center"/>
          </w:tcPr>
          <w:p w:rsidR="003C28BB" w:rsidRPr="00483566" w:rsidRDefault="003C28BB" w:rsidP="00CF7CD7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3C28BB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Definicja:</w:t>
            </w:r>
            <w:r w:rsidRPr="003C28B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limit środków w ogłoszonym konkursie w ramach przedsięwzięcia</w:t>
            </w:r>
            <w:r w:rsidR="00483566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635035" w:rsidRPr="00635035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1.2.2. Promowanie i zachowanie rybackiego charakteru obszaru </w:t>
            </w:r>
            <w:r w:rsidR="00483566">
              <w:rPr>
                <w:rFonts w:asciiTheme="majorHAnsi" w:eastAsia="Calibri" w:hAnsiTheme="majorHAnsi" w:cs="Times New Roman"/>
                <w:sz w:val="20"/>
                <w:szCs w:val="20"/>
              </w:rPr>
              <w:t>w</w:t>
            </w:r>
            <w:r w:rsidR="00635035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ynosi </w:t>
            </w:r>
            <w:r w:rsidR="00635035" w:rsidRPr="00635035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100 000,00</w:t>
            </w:r>
            <w:r w:rsidRPr="00635035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zł</w:t>
            </w:r>
            <w:r w:rsidR="00635035" w:rsidRPr="00635035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.</w:t>
            </w:r>
          </w:p>
        </w:tc>
      </w:tr>
    </w:tbl>
    <w:p w:rsidR="002B4DD2" w:rsidRPr="003C28BB" w:rsidRDefault="003C28BB" w:rsidP="003C28BB">
      <w:pPr>
        <w:pStyle w:val="Akapitzlist"/>
        <w:spacing w:after="0" w:line="240" w:lineRule="auto"/>
        <w:ind w:left="0"/>
        <w:jc w:val="both"/>
        <w:rPr>
          <w:rFonts w:asciiTheme="majorHAnsi" w:eastAsia="Times New Roman" w:hAnsiTheme="majorHAnsi" w:cs="Arial"/>
          <w:sz w:val="20"/>
          <w:lang w:eastAsia="pl-PL"/>
        </w:rPr>
      </w:pPr>
      <w:r w:rsidRPr="003C28BB">
        <w:rPr>
          <w:rFonts w:asciiTheme="majorHAnsi" w:eastAsia="Times New Roman" w:hAnsiTheme="majorHAnsi" w:cs="Arial"/>
          <w:sz w:val="20"/>
          <w:lang w:eastAsia="pl-PL"/>
        </w:rPr>
        <w:t>*Na etapie ustalania kwoty wsparcia przed wyborem operacji do dofinansowania, w kryterium możliwe jest do zaznaczenia tylko pole „DO UZUP” wraz z uzasadnieniem (jeśli dotyczy), na etapie ustalania kwoty wsparcia po przyjęciu listy operacji wybranych do dofinansowania - kryterium dotyczy operacji, która na tej liście znajduje się bezpośrednio za ostatnią operacją mieszczącą się w limicie środków</w:t>
      </w:r>
    </w:p>
    <w:p w:rsidR="009109BB" w:rsidRDefault="009109BB" w:rsidP="009109BB">
      <w:pPr>
        <w:pStyle w:val="Akapitzlist"/>
        <w:spacing w:after="0" w:line="240" w:lineRule="auto"/>
        <w:ind w:left="284"/>
        <w:jc w:val="both"/>
        <w:rPr>
          <w:rFonts w:asciiTheme="majorHAnsi" w:eastAsia="Times New Roman" w:hAnsiTheme="majorHAnsi" w:cs="Arial"/>
          <w:b/>
          <w:sz w:val="20"/>
          <w:lang w:eastAsia="pl-PL"/>
        </w:rPr>
      </w:pPr>
    </w:p>
    <w:p w:rsidR="002B4DD2" w:rsidRPr="00BD197D" w:rsidRDefault="002B4DD2" w:rsidP="002B4DD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b/>
          <w:sz w:val="20"/>
          <w:lang w:eastAsia="pl-PL"/>
        </w:rPr>
      </w:pPr>
      <w:r w:rsidRPr="00BD197D">
        <w:rPr>
          <w:rFonts w:asciiTheme="majorHAnsi" w:eastAsia="Times New Roman" w:hAnsiTheme="majorHAnsi" w:cs="Arial"/>
          <w:b/>
          <w:sz w:val="20"/>
          <w:lang w:eastAsia="pl-PL"/>
        </w:rPr>
        <w:t>Kryteria wyboru</w:t>
      </w:r>
    </w:p>
    <w:p w:rsidR="00D32531" w:rsidRPr="00D32531" w:rsidRDefault="00D32531" w:rsidP="00D32531">
      <w:pPr>
        <w:spacing w:before="120" w:after="120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D32531">
        <w:rPr>
          <w:rFonts w:asciiTheme="majorHAnsi" w:eastAsia="Calibri" w:hAnsiTheme="majorHAnsi" w:cs="Times New Roman"/>
          <w:b/>
          <w:sz w:val="20"/>
          <w:szCs w:val="20"/>
        </w:rPr>
        <w:t>Maksymalna ilość punktów w ramach przedsięwzięcia: 24 pkt.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Minimalna liczba punktów niezbędna do uznania operacji za wybraną do dofinansowania – 9,6 (40% punktów).</w:t>
      </w:r>
    </w:p>
    <w:p w:rsidR="00D32531" w:rsidRPr="00D32531" w:rsidRDefault="00D32531" w:rsidP="00D32531">
      <w:pPr>
        <w:spacing w:before="120" w:after="12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32531">
        <w:rPr>
          <w:rFonts w:asciiTheme="majorHAnsi" w:eastAsia="Calibri" w:hAnsiTheme="majorHAnsi" w:cs="Times New Roman"/>
          <w:sz w:val="20"/>
          <w:szCs w:val="20"/>
          <w:u w:val="single"/>
        </w:rPr>
        <w:t>Kryterium podstawowe:</w:t>
      </w:r>
      <w:r w:rsidRPr="00D32531">
        <w:rPr>
          <w:rFonts w:asciiTheme="majorHAnsi" w:eastAsia="Calibri" w:hAnsiTheme="majorHAnsi" w:cs="Times New Roman"/>
          <w:sz w:val="20"/>
          <w:szCs w:val="20"/>
        </w:rPr>
        <w:t xml:space="preserve"> Włączenie w tworzenie produktów edukacyjnych osób związanych z rybołówstwem, rybactwem śródlądowym, akwakulturą i sektorem okołorybackim lub żeglarzy.</w:t>
      </w:r>
    </w:p>
    <w:p w:rsidR="00513DA9" w:rsidRPr="00D32531" w:rsidRDefault="00D32531" w:rsidP="00D32531">
      <w:pPr>
        <w:spacing w:before="120" w:after="12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32531">
        <w:rPr>
          <w:rFonts w:asciiTheme="majorHAnsi" w:eastAsia="Calibri" w:hAnsiTheme="majorHAnsi" w:cs="Times New Roman"/>
          <w:sz w:val="20"/>
          <w:szCs w:val="20"/>
          <w:u w:val="single"/>
        </w:rPr>
        <w:t>Kryterium pomocnicze:</w:t>
      </w:r>
      <w:r w:rsidRPr="00D32531">
        <w:rPr>
          <w:rFonts w:asciiTheme="majorHAnsi" w:eastAsia="Calibri" w:hAnsiTheme="majorHAnsi" w:cs="Times New Roman"/>
          <w:sz w:val="20"/>
          <w:szCs w:val="20"/>
        </w:rPr>
        <w:t xml:space="preserve"> Operacja zakłada udział w wydarzeniu edukacyjnym (…)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32531" w:rsidRPr="00D1568A" w:rsidTr="00D32531">
        <w:trPr>
          <w:trHeight w:val="133"/>
          <w:tblHeader/>
          <w:jc w:val="center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32531" w:rsidRPr="00D32531" w:rsidRDefault="00D32531" w:rsidP="00CF7CD7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 xml:space="preserve">Kryterium </w:t>
            </w:r>
          </w:p>
        </w:tc>
      </w:tr>
      <w:tr w:rsidR="00D32531" w:rsidRPr="00633832" w:rsidTr="00D32531">
        <w:trPr>
          <w:trHeight w:val="459"/>
          <w:jc w:val="center"/>
        </w:trPr>
        <w:tc>
          <w:tcPr>
            <w:tcW w:w="99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531" w:rsidRPr="00D32531" w:rsidRDefault="00D32531" w:rsidP="00CF7CD7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Liczba wniosków o pomoc złożonych w okresie programowania 2014-2020 przez Wnioskodawcę za pośrednictwem SGR, wybranych przez SGR do dofinansowania i mieszczących się w limicie środków (z wyjątkiem wniosków, od realizacji których odstąpiono w wyniku obniżenia przez Radę SGR kwoty dofinansowania w celu wpisania ich w dostępny w naborze limit środków):</w:t>
            </w:r>
          </w:p>
          <w:p w:rsidR="00D32531" w:rsidRPr="00D32531" w:rsidRDefault="00D32531" w:rsidP="00D32531">
            <w:pPr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brak wcześniej składanych wniosków o pomoc lub wybranych przez SGR do dofinansowania i mieszczących się w limicie środków – 3pkt. </w:t>
            </w:r>
          </w:p>
          <w:p w:rsidR="00D32531" w:rsidRPr="00D32531" w:rsidRDefault="00D32531" w:rsidP="00D32531">
            <w:pPr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>1 złożony wcześniej wniosek wybrany przez SGR do dofinansowania i mieszczących się w limicie środków – 1 pkt.</w:t>
            </w:r>
          </w:p>
          <w:p w:rsidR="00D32531" w:rsidRPr="00D32531" w:rsidRDefault="00D32531" w:rsidP="00D32531">
            <w:pPr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>2 lub więcej złożonych wcześniej wniosków wybranych przez SGR do dofinansowania i mieszczących się w limicie środków – 0 pkt.</w:t>
            </w:r>
          </w:p>
          <w:p w:rsidR="00D32531" w:rsidRPr="00D32531" w:rsidRDefault="00D32531" w:rsidP="00CF7CD7">
            <w:pPr>
              <w:spacing w:after="0" w:line="240" w:lineRule="auto"/>
              <w:ind w:left="175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  <w:p w:rsidR="00D32531" w:rsidRPr="00D32531" w:rsidRDefault="00D32531" w:rsidP="00CF7CD7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i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i/>
                <w:sz w:val="20"/>
                <w:szCs w:val="20"/>
                <w:u w:val="single"/>
              </w:rPr>
              <w:t>Sposób weryfikacji</w:t>
            </w:r>
            <w:r w:rsidRPr="00D32531">
              <w:rPr>
                <w:rFonts w:asciiTheme="majorHAnsi" w:eastAsia="Calibri" w:hAnsiTheme="majorHAnsi" w:cs="Times New Roman"/>
                <w:i/>
                <w:sz w:val="20"/>
                <w:szCs w:val="20"/>
              </w:rPr>
              <w:t xml:space="preserve"> – listy wniosków wybranych przez SGR do dofinansowania oraz, w przypadku wniosków, od realizacji których odstąpiono w wyniku obniżenia przez Radę SGR kwoty dofinansowania w celu wpisania ich w dostępny w naborze limit środków - kopia informacji wnioskodawcy o odstąpieniu od realizacji operacji ze względu na obniżoną przez SGR kwotę wsparcia wniesionej do UM w terminie 30 dni od przesłania przez SGR wiadomości e-mail z informacją o wynikach naboru wniosków (informacja o rezygnacji z realizacji operacji wniesiona do UM w późniejszym niż ww. termin nie zostanie uwzględniona przy ocenie wniosku). </w:t>
            </w:r>
          </w:p>
        </w:tc>
      </w:tr>
      <w:tr w:rsidR="00D32531" w:rsidRPr="00D1568A" w:rsidTr="00D32531">
        <w:trPr>
          <w:trHeight w:val="126"/>
          <w:jc w:val="center"/>
        </w:trPr>
        <w:tc>
          <w:tcPr>
            <w:tcW w:w="99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531" w:rsidRPr="00D32531" w:rsidRDefault="00D32531" w:rsidP="00CF7CD7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Operacja zakłada wykorzystanie innowacyjnych form edukacyjnych lub stworzenie innowacyjnych produktów edukacyjnych w skali:</w:t>
            </w:r>
          </w:p>
          <w:p w:rsidR="00D32531" w:rsidRPr="00D32531" w:rsidRDefault="00D32531" w:rsidP="00D32531">
            <w:pPr>
              <w:numPr>
                <w:ilvl w:val="0"/>
                <w:numId w:val="18"/>
              </w:numPr>
              <w:spacing w:after="0" w:line="240" w:lineRule="auto"/>
              <w:ind w:left="317" w:hanging="218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obszaru SGR – 5 pkt. </w:t>
            </w:r>
          </w:p>
          <w:p w:rsidR="00D32531" w:rsidRPr="00D32531" w:rsidRDefault="00D32531" w:rsidP="00D32531">
            <w:pPr>
              <w:numPr>
                <w:ilvl w:val="0"/>
                <w:numId w:val="18"/>
              </w:numPr>
              <w:spacing w:after="0" w:line="240" w:lineRule="auto"/>
              <w:ind w:left="317" w:hanging="218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gminy – 3 pkt. </w:t>
            </w:r>
          </w:p>
          <w:p w:rsidR="00D32531" w:rsidRPr="00647A83" w:rsidRDefault="00D32531" w:rsidP="00CF7CD7">
            <w:pPr>
              <w:numPr>
                <w:ilvl w:val="0"/>
                <w:numId w:val="18"/>
              </w:numPr>
              <w:spacing w:after="0" w:line="240" w:lineRule="auto"/>
              <w:ind w:left="317" w:hanging="218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>mniejszym niż gmina – 1 pkt.</w:t>
            </w:r>
          </w:p>
          <w:p w:rsidR="00D32531" w:rsidRPr="00D32531" w:rsidRDefault="00D32531" w:rsidP="00CF7CD7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  <w:u w:val="single"/>
              </w:rPr>
              <w:t>Innowacyjność oznacza</w:t>
            </w: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wykorzystanie form edukacyjnych lub stworzenie produktów edukacyjnych, jakich dotychczas nie wykorzystywano w obrębie wskazanych obszarów.</w:t>
            </w:r>
          </w:p>
        </w:tc>
      </w:tr>
      <w:tr w:rsidR="00D32531" w:rsidRPr="00D1568A" w:rsidTr="00D32531">
        <w:trPr>
          <w:trHeight w:val="305"/>
          <w:jc w:val="center"/>
        </w:trPr>
        <w:tc>
          <w:tcPr>
            <w:tcW w:w="99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531" w:rsidRPr="00D32531" w:rsidRDefault="00D32531" w:rsidP="00CF7CD7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Włączenie w tworzenie produktów edukacyjnych osób związanych z rybołówstwem, rybactwem śródlądowym, akwakulturą i sektorem okołorybackim lub żeglarzy poprzez:</w:t>
            </w:r>
          </w:p>
          <w:p w:rsidR="00D32531" w:rsidRPr="00D32531" w:rsidRDefault="00D32531" w:rsidP="00D32531">
            <w:pPr>
              <w:numPr>
                <w:ilvl w:val="0"/>
                <w:numId w:val="19"/>
              </w:numPr>
              <w:spacing w:after="0" w:line="240" w:lineRule="auto"/>
              <w:ind w:left="317" w:hanging="283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>bezpośrednie zaangażowanie w prowadzone działania edukacyjne np. ich udział w pogadankach, spotkaniach, itp. – 0 albo 6 pkt.</w:t>
            </w:r>
          </w:p>
          <w:p w:rsidR="00D32531" w:rsidRPr="00D32531" w:rsidRDefault="00D32531" w:rsidP="00D32531">
            <w:pPr>
              <w:numPr>
                <w:ilvl w:val="0"/>
                <w:numId w:val="19"/>
              </w:numPr>
              <w:spacing w:after="0" w:line="240" w:lineRule="auto"/>
              <w:ind w:left="317" w:hanging="283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>korzystanie z ich wiedzy podczas przygotowywania produktów lub wydarzeń (np. konsultacji, doradztwa), ich pomoc organizacyjną (np.: użyczanie sprzętu i narzędzi związanych z rybactwem, żeglarstwem, itp.) – 0 albo 4 pkt.</w:t>
            </w:r>
          </w:p>
          <w:p w:rsidR="00D32531" w:rsidRPr="00D32531" w:rsidRDefault="00D32531" w:rsidP="00CF7C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Punkty mogą się sumować. </w:t>
            </w:r>
          </w:p>
          <w:p w:rsidR="00D32531" w:rsidRPr="00D32531" w:rsidRDefault="00D32531" w:rsidP="00CF7C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i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i/>
                <w:sz w:val="20"/>
                <w:szCs w:val="20"/>
                <w:u w:val="single"/>
              </w:rPr>
              <w:t>Sposób weryfikacji</w:t>
            </w:r>
            <w:r w:rsidRPr="00D32531">
              <w:rPr>
                <w:rFonts w:asciiTheme="majorHAnsi" w:eastAsia="Calibri" w:hAnsiTheme="majorHAnsi" w:cs="Times New Roman"/>
                <w:i/>
                <w:sz w:val="20"/>
                <w:szCs w:val="20"/>
              </w:rPr>
              <w:t xml:space="preserve"> – załączone dokumenty, w których oprócz oświadczenia osoby związanej z sektorem rybactwa lub żeglarza o wzięciu udziału w planowanym wydarzeniu znajdzie się zakres wykonywanych przez niego zadań.</w:t>
            </w:r>
          </w:p>
        </w:tc>
      </w:tr>
      <w:tr w:rsidR="00D32531" w:rsidRPr="00633832" w:rsidTr="00D32531">
        <w:trPr>
          <w:trHeight w:val="242"/>
          <w:jc w:val="center"/>
        </w:trPr>
        <w:tc>
          <w:tcPr>
            <w:tcW w:w="99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531" w:rsidRPr="00D32531" w:rsidRDefault="00D32531" w:rsidP="00CF7C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Operacja zakłada:</w:t>
            </w:r>
          </w:p>
          <w:p w:rsidR="00D32531" w:rsidRPr="00D32531" w:rsidRDefault="00D32531" w:rsidP="00D3253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>udział w wydarzeniu edukacyjnym co najmniej 30 osób lub prezentacja stworzonych produktów edukacyjnych w co najmniej 5 placówkach pełniących funkcje edukacyjno-kulturalne – 0 albo 6 pkt. lub</w:t>
            </w:r>
          </w:p>
          <w:p w:rsidR="00D32531" w:rsidRPr="00D32531" w:rsidRDefault="00D32531" w:rsidP="00D3253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D32531">
              <w:rPr>
                <w:rFonts w:asciiTheme="majorHAnsi" w:eastAsia="Calibri" w:hAnsiTheme="majorHAnsi" w:cs="Times New Roman"/>
                <w:sz w:val="20"/>
                <w:szCs w:val="20"/>
              </w:rPr>
              <w:t>udział w wydarzeniu edukacyjnym co najmniej 20 osób lub prezentację tworzonych produktów edukacyjnych w co najmniej 3 placówkach pełniących funkcje edukacyjno-kulturalne – 0 albo 4 pkt.</w:t>
            </w:r>
          </w:p>
        </w:tc>
      </w:tr>
    </w:tbl>
    <w:p w:rsidR="00BD197D" w:rsidRPr="00513DA9" w:rsidRDefault="00BD197D" w:rsidP="00647A83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sectPr w:rsidR="00BD197D" w:rsidRPr="00513DA9" w:rsidSect="0096126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86" w:right="1274" w:bottom="1134" w:left="1276" w:header="340" w:footer="13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B2" w:rsidRDefault="00F002B2" w:rsidP="00961265">
      <w:pPr>
        <w:spacing w:after="0" w:line="240" w:lineRule="auto"/>
      </w:pPr>
      <w:r>
        <w:separator/>
      </w:r>
    </w:p>
  </w:endnote>
  <w:endnote w:type="continuationSeparator" w:id="0">
    <w:p w:rsidR="00F002B2" w:rsidRDefault="00F002B2" w:rsidP="0096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21925"/>
      <w:docPartObj>
        <w:docPartGallery w:val="Page Numbers (Bottom of Page)"/>
        <w:docPartUnique/>
      </w:docPartObj>
    </w:sdtPr>
    <w:sdtEndPr/>
    <w:sdtContent>
      <w:p w:rsidR="002B4DD2" w:rsidRDefault="002B4D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156">
          <w:rPr>
            <w:noProof/>
          </w:rPr>
          <w:t>2</w:t>
        </w:r>
        <w:r>
          <w:fldChar w:fldCharType="end"/>
        </w:r>
      </w:p>
    </w:sdtContent>
  </w:sdt>
  <w:p w:rsidR="002B4DD2" w:rsidRDefault="002B4DD2">
    <w:pPr>
      <w:pStyle w:val="Stopka"/>
    </w:pP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7696" behindDoc="0" locked="0" layoutInCell="1" allowOverlap="1" wp14:anchorId="6D27B1B2" wp14:editId="26D8F6B9">
          <wp:simplePos x="0" y="0"/>
          <wp:positionH relativeFrom="column">
            <wp:posOffset>3967480</wp:posOffset>
          </wp:positionH>
          <wp:positionV relativeFrom="paragraph">
            <wp:posOffset>217805</wp:posOffset>
          </wp:positionV>
          <wp:extent cx="1889760" cy="584835"/>
          <wp:effectExtent l="0" t="0" r="0" b="5715"/>
          <wp:wrapSquare wrapText="bothSides"/>
          <wp:docPr id="14" name="Obraz 14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5648" behindDoc="0" locked="0" layoutInCell="1" allowOverlap="1" wp14:anchorId="6C7DDF36" wp14:editId="33E909D0">
          <wp:simplePos x="0" y="0"/>
          <wp:positionH relativeFrom="column">
            <wp:posOffset>3121660</wp:posOffset>
          </wp:positionH>
          <wp:positionV relativeFrom="paragraph">
            <wp:posOffset>292100</wp:posOffset>
          </wp:positionV>
          <wp:extent cx="495300" cy="472440"/>
          <wp:effectExtent l="0" t="0" r="0" b="381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3600" behindDoc="0" locked="0" layoutInCell="1" allowOverlap="1" wp14:anchorId="0E2A3952" wp14:editId="04E5C094">
          <wp:simplePos x="0" y="0"/>
          <wp:positionH relativeFrom="column">
            <wp:posOffset>2435860</wp:posOffset>
          </wp:positionH>
          <wp:positionV relativeFrom="paragraph">
            <wp:posOffset>307975</wp:posOffset>
          </wp:positionV>
          <wp:extent cx="351790" cy="454025"/>
          <wp:effectExtent l="0" t="0" r="0" b="317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71552" behindDoc="0" locked="0" layoutInCell="1" allowOverlap="1" wp14:anchorId="7D19B3AC" wp14:editId="5E0EB961">
          <wp:simplePos x="0" y="0"/>
          <wp:positionH relativeFrom="column">
            <wp:posOffset>1247140</wp:posOffset>
          </wp:positionH>
          <wp:positionV relativeFrom="paragraph">
            <wp:posOffset>216535</wp:posOffset>
          </wp:positionV>
          <wp:extent cx="800735" cy="551815"/>
          <wp:effectExtent l="0" t="0" r="0" b="63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9504" behindDoc="0" locked="0" layoutInCell="1" allowOverlap="1" wp14:anchorId="75EAADA7" wp14:editId="4714E3B1">
          <wp:simplePos x="0" y="0"/>
          <wp:positionH relativeFrom="column">
            <wp:posOffset>-444500</wp:posOffset>
          </wp:positionH>
          <wp:positionV relativeFrom="paragraph">
            <wp:posOffset>252095</wp:posOffset>
          </wp:positionV>
          <wp:extent cx="1234440" cy="439420"/>
          <wp:effectExtent l="0" t="0" r="381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731429"/>
      <w:docPartObj>
        <w:docPartGallery w:val="Page Numbers (Bottom of Page)"/>
        <w:docPartUnique/>
      </w:docPartObj>
    </w:sdtPr>
    <w:sdtEndPr/>
    <w:sdtContent>
      <w:p w:rsidR="002B4DD2" w:rsidRDefault="002B4D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156">
          <w:rPr>
            <w:noProof/>
          </w:rPr>
          <w:t>1</w:t>
        </w:r>
        <w:r>
          <w:fldChar w:fldCharType="end"/>
        </w:r>
      </w:p>
    </w:sdtContent>
  </w:sdt>
  <w:p w:rsidR="002B4DD2" w:rsidRDefault="002B4DD2" w:rsidP="002B4DD2">
    <w:pPr>
      <w:pStyle w:val="Stopka"/>
      <w:jc w:val="center"/>
    </w:pP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7456" behindDoc="0" locked="0" layoutInCell="1" allowOverlap="1" wp14:anchorId="265E3B14" wp14:editId="080D2DA9">
          <wp:simplePos x="0" y="0"/>
          <wp:positionH relativeFrom="column">
            <wp:posOffset>4127500</wp:posOffset>
          </wp:positionH>
          <wp:positionV relativeFrom="paragraph">
            <wp:posOffset>161925</wp:posOffset>
          </wp:positionV>
          <wp:extent cx="1874520" cy="579755"/>
          <wp:effectExtent l="0" t="0" r="0" b="0"/>
          <wp:wrapSquare wrapText="bothSides"/>
          <wp:docPr id="9" name="Obraz 9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5408" behindDoc="0" locked="0" layoutInCell="1" allowOverlap="1" wp14:anchorId="7C9D5321" wp14:editId="3A8B15AB">
          <wp:simplePos x="0" y="0"/>
          <wp:positionH relativeFrom="column">
            <wp:posOffset>3258820</wp:posOffset>
          </wp:positionH>
          <wp:positionV relativeFrom="paragraph">
            <wp:posOffset>231775</wp:posOffset>
          </wp:positionV>
          <wp:extent cx="542290" cy="518160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3360" behindDoc="0" locked="0" layoutInCell="1" allowOverlap="1" wp14:anchorId="04CB248E" wp14:editId="0046107D">
          <wp:simplePos x="0" y="0"/>
          <wp:positionH relativeFrom="column">
            <wp:posOffset>2557780</wp:posOffset>
          </wp:positionH>
          <wp:positionV relativeFrom="paragraph">
            <wp:posOffset>231775</wp:posOffset>
          </wp:positionV>
          <wp:extent cx="381000" cy="492125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61312" behindDoc="0" locked="0" layoutInCell="1" allowOverlap="1" wp14:anchorId="1AF34808" wp14:editId="021F0C5D">
          <wp:simplePos x="0" y="0"/>
          <wp:positionH relativeFrom="column">
            <wp:posOffset>1330960</wp:posOffset>
          </wp:positionH>
          <wp:positionV relativeFrom="paragraph">
            <wp:posOffset>220345</wp:posOffset>
          </wp:positionV>
          <wp:extent cx="762000" cy="524510"/>
          <wp:effectExtent l="0" t="0" r="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902">
      <w:rPr>
        <w:noProof/>
        <w:highlight w:val="yellow"/>
        <w:lang w:eastAsia="pl-PL"/>
      </w:rPr>
      <w:drawing>
        <wp:anchor distT="0" distB="0" distL="114300" distR="114300" simplePos="0" relativeHeight="251659264" behindDoc="0" locked="0" layoutInCell="1" allowOverlap="1" wp14:anchorId="7C2A0926" wp14:editId="73ADEDF1">
          <wp:simplePos x="0" y="0"/>
          <wp:positionH relativeFrom="column">
            <wp:posOffset>-322580</wp:posOffset>
          </wp:positionH>
          <wp:positionV relativeFrom="paragraph">
            <wp:posOffset>229870</wp:posOffset>
          </wp:positionV>
          <wp:extent cx="1232535" cy="438785"/>
          <wp:effectExtent l="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B2" w:rsidRDefault="00F002B2" w:rsidP="00961265">
      <w:pPr>
        <w:spacing w:after="0" w:line="240" w:lineRule="auto"/>
      </w:pPr>
      <w:r>
        <w:separator/>
      </w:r>
    </w:p>
  </w:footnote>
  <w:footnote w:type="continuationSeparator" w:id="0">
    <w:p w:rsidR="00F002B2" w:rsidRDefault="00F002B2" w:rsidP="0096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78" w:type="dxa"/>
      <w:tblInd w:w="11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78"/>
    </w:tblGrid>
    <w:tr w:rsidR="002B4DD2" w:rsidRPr="0084091F" w:rsidTr="002B4DD2">
      <w:trPr>
        <w:trHeight w:val="1157"/>
      </w:trPr>
      <w:tc>
        <w:tcPr>
          <w:tcW w:w="857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2B4DD2" w:rsidRPr="0084091F" w:rsidRDefault="002B4DD2" w:rsidP="002B4DD2">
          <w:pPr>
            <w:tabs>
              <w:tab w:val="left" w:pos="0"/>
              <w:tab w:val="center" w:pos="4536"/>
              <w:tab w:val="right" w:pos="9072"/>
            </w:tabs>
            <w:spacing w:after="60" w:line="240" w:lineRule="exact"/>
            <w:ind w:left="-34"/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noProof/>
              <w:lang w:eastAsia="pl-PL"/>
            </w:rPr>
            <w:drawing>
              <wp:anchor distT="0" distB="0" distL="114300" distR="114300" simplePos="0" relativeHeight="251682816" behindDoc="1" locked="0" layoutInCell="1" allowOverlap="1" wp14:anchorId="26F336FD" wp14:editId="5B91602D">
                <wp:simplePos x="0" y="0"/>
                <wp:positionH relativeFrom="column">
                  <wp:posOffset>36195</wp:posOffset>
                </wp:positionH>
                <wp:positionV relativeFrom="paragraph">
                  <wp:posOffset>-43815</wp:posOffset>
                </wp:positionV>
                <wp:extent cx="457200" cy="657225"/>
                <wp:effectExtent l="0" t="0" r="0" b="9525"/>
                <wp:wrapThrough wrapText="bothSides">
                  <wp:wrapPolygon edited="0">
                    <wp:start x="0" y="0"/>
                    <wp:lineTo x="0" y="21287"/>
                    <wp:lineTo x="20700" y="21287"/>
                    <wp:lineTo x="20700" y="0"/>
                    <wp:lineTo x="0" y="0"/>
                  </wp:wrapPolygon>
                </wp:wrapThrough>
                <wp:docPr id="15" name="Obraz 15" descr="Opis: D:\Wzory_wizualizacja\Logotypy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Opis: D:\Wzory_wizualizacja\Logotypy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4091F">
            <w:rPr>
              <w:rFonts w:ascii="Calibri" w:eastAsia="Calibri" w:hAnsi="Calibri" w:cs="Times New Roman"/>
              <w:b/>
            </w:rPr>
            <w:t>Słowińska Grupa Rybacka</w:t>
          </w:r>
        </w:p>
        <w:p w:rsidR="002B4DD2" w:rsidRPr="0084091F" w:rsidRDefault="002B4DD2" w:rsidP="002B4DD2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</w:rPr>
          </w:pPr>
          <w:r w:rsidRPr="0084091F">
            <w:rPr>
              <w:rFonts w:ascii="Calibri" w:eastAsia="Calibri" w:hAnsi="Calibri" w:cs="Times New Roman"/>
            </w:rPr>
            <w:t>Przewłoka, ul. Ustecka 8, 76-270 Ustka</w:t>
          </w:r>
        </w:p>
        <w:p w:rsidR="002B4DD2" w:rsidRPr="0084091F" w:rsidRDefault="002B4DD2" w:rsidP="002B4DD2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after="60" w:line="240" w:lineRule="exact"/>
            <w:ind w:left="-108"/>
            <w:jc w:val="center"/>
            <w:rPr>
              <w:rFonts w:ascii="Calibri" w:eastAsia="Calibri" w:hAnsi="Calibri" w:cs="Times New Roman"/>
              <w:lang w:val="en-US"/>
            </w:rPr>
          </w:pPr>
          <w:r w:rsidRPr="0084091F">
            <w:rPr>
              <w:rFonts w:ascii="Calibri" w:eastAsia="Calibri" w:hAnsi="Calibri" w:cs="Times New Roman"/>
              <w:lang w:val="en-US"/>
            </w:rPr>
            <w:t>Tel. 516 559 181, e-mail: biuro@sgr.org.pl</w:t>
          </w:r>
        </w:p>
      </w:tc>
    </w:tr>
  </w:tbl>
  <w:p w:rsidR="002B4DD2" w:rsidRDefault="002B4D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34" w:type="dxa"/>
      <w:tblInd w:w="-1033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07"/>
      <w:gridCol w:w="223"/>
      <w:gridCol w:w="26"/>
      <w:gridCol w:w="26"/>
      <w:gridCol w:w="1352"/>
    </w:tblGrid>
    <w:tr w:rsidR="002B4DD2" w:rsidRPr="007F19D8" w:rsidTr="002B4DD2">
      <w:trPr>
        <w:trHeight w:val="1375"/>
      </w:trPr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B4DD2" w:rsidRPr="007F19D8" w:rsidRDefault="002B4DD2" w:rsidP="002B4DD2">
          <w:pPr>
            <w:suppressAutoHyphens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63FC4">
            <w:rPr>
              <w:rFonts w:ascii="Calibri" w:eastAsia="Calibri" w:hAnsi="Calibri" w:cs="Times New Roman"/>
            </w:rPr>
            <w:tab/>
            <w:t xml:space="preserve"> </w:t>
          </w:r>
          <w:r w:rsidRPr="00B63FC4">
            <w:rPr>
              <w:rFonts w:ascii="Calibri" w:eastAsia="Calibri" w:hAnsi="Calibri" w:cs="Times New Roman"/>
            </w:rPr>
            <w:tab/>
          </w:r>
        </w:p>
        <w:tbl>
          <w:tblPr>
            <w:tblW w:w="8578" w:type="dxa"/>
            <w:tblInd w:w="11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578"/>
          </w:tblGrid>
          <w:tr w:rsidR="002B4DD2" w:rsidRPr="0084091F" w:rsidTr="002B65D4">
            <w:trPr>
              <w:trHeight w:val="1157"/>
            </w:trPr>
            <w:tc>
              <w:tcPr>
                <w:tcW w:w="85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2B4DD2" w:rsidRPr="0084091F" w:rsidRDefault="002B4DD2" w:rsidP="002B4DD2">
                <w:pPr>
                  <w:tabs>
                    <w:tab w:val="left" w:pos="0"/>
                    <w:tab w:val="center" w:pos="4536"/>
                    <w:tab w:val="right" w:pos="9072"/>
                  </w:tabs>
                  <w:spacing w:after="60" w:line="240" w:lineRule="exact"/>
                  <w:ind w:left="-34"/>
                  <w:jc w:val="center"/>
                  <w:rPr>
                    <w:rFonts w:ascii="Calibri" w:eastAsia="Calibri" w:hAnsi="Calibri" w:cs="Times New Roman"/>
                    <w:b/>
                  </w:rPr>
                </w:pPr>
                <w:r>
                  <w:rPr>
                    <w:rFonts w:ascii="Calibri" w:eastAsia="Calibri" w:hAnsi="Calibri" w:cs="Times New Roman"/>
                    <w:noProof/>
                    <w:lang w:eastAsia="pl-PL"/>
                  </w:rPr>
                  <w:drawing>
                    <wp:anchor distT="0" distB="0" distL="114300" distR="114300" simplePos="0" relativeHeight="251680768" behindDoc="1" locked="0" layoutInCell="1" allowOverlap="1" wp14:anchorId="588505E4" wp14:editId="023FF25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-43815</wp:posOffset>
                      </wp:positionV>
                      <wp:extent cx="457200" cy="657225"/>
                      <wp:effectExtent l="0" t="0" r="0" b="9525"/>
                      <wp:wrapThrough wrapText="bothSides">
                        <wp:wrapPolygon edited="0">
                          <wp:start x="0" y="0"/>
                          <wp:lineTo x="0" y="21287"/>
                          <wp:lineTo x="20700" y="21287"/>
                          <wp:lineTo x="20700" y="0"/>
                          <wp:lineTo x="0" y="0"/>
                        </wp:wrapPolygon>
                      </wp:wrapThrough>
                      <wp:docPr id="1" name="Obraz 1" descr="Opis: D:\Wzory_wizualizacja\Logotypy\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Opis: D:\Wzory_wizualizacja\Logotypy\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84091F">
                  <w:rPr>
                    <w:rFonts w:ascii="Calibri" w:eastAsia="Calibri" w:hAnsi="Calibri" w:cs="Times New Roman"/>
                    <w:b/>
                  </w:rPr>
                  <w:t>Słowińska Grupa Rybacka</w:t>
                </w:r>
              </w:p>
              <w:p w:rsidR="002B4DD2" w:rsidRPr="0084091F" w:rsidRDefault="002B4DD2" w:rsidP="002B4DD2">
                <w:pPr>
                  <w:tabs>
                    <w:tab w:val="left" w:pos="709"/>
                    <w:tab w:val="left" w:pos="1843"/>
                    <w:tab w:val="center" w:pos="4536"/>
                    <w:tab w:val="right" w:pos="9072"/>
                  </w:tabs>
                  <w:spacing w:after="60" w:line="240" w:lineRule="exact"/>
                  <w:ind w:left="-108"/>
                  <w:jc w:val="center"/>
                  <w:rPr>
                    <w:rFonts w:ascii="Calibri" w:eastAsia="Calibri" w:hAnsi="Calibri" w:cs="Times New Roman"/>
                  </w:rPr>
                </w:pPr>
                <w:r w:rsidRPr="0084091F">
                  <w:rPr>
                    <w:rFonts w:ascii="Calibri" w:eastAsia="Calibri" w:hAnsi="Calibri" w:cs="Times New Roman"/>
                  </w:rPr>
                  <w:t>Przewłoka, ul. Ustecka 8, 76-270 Ustka</w:t>
                </w:r>
              </w:p>
              <w:p w:rsidR="002B4DD2" w:rsidRPr="0084091F" w:rsidRDefault="002B4DD2" w:rsidP="002B4DD2">
                <w:pPr>
                  <w:tabs>
                    <w:tab w:val="left" w:pos="709"/>
                    <w:tab w:val="left" w:pos="1843"/>
                    <w:tab w:val="center" w:pos="4536"/>
                    <w:tab w:val="right" w:pos="9072"/>
                  </w:tabs>
                  <w:spacing w:after="60" w:line="240" w:lineRule="exact"/>
                  <w:ind w:left="-108"/>
                  <w:jc w:val="center"/>
                  <w:rPr>
                    <w:rFonts w:ascii="Calibri" w:eastAsia="Calibri" w:hAnsi="Calibri" w:cs="Times New Roman"/>
                    <w:lang w:val="en-US"/>
                  </w:rPr>
                </w:pPr>
                <w:r w:rsidRPr="0084091F">
                  <w:rPr>
                    <w:rFonts w:ascii="Calibri" w:eastAsia="Calibri" w:hAnsi="Calibri" w:cs="Times New Roman"/>
                    <w:lang w:val="en-US"/>
                  </w:rPr>
                  <w:t>Tel. 516 559 181, e-mail: biuro@sgr.org.pl</w:t>
                </w:r>
              </w:p>
            </w:tc>
          </w:tr>
        </w:tbl>
        <w:p w:rsidR="002B4DD2" w:rsidRPr="007F19D8" w:rsidRDefault="002B4DD2" w:rsidP="002B4DD2">
          <w:pPr>
            <w:suppressAutoHyphens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B4DD2" w:rsidRPr="007F19D8" w:rsidRDefault="002B4DD2" w:rsidP="002B4DD2">
          <w:pPr>
            <w:suppressAutoHyphens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</w:rPr>
          </w:pPr>
        </w:p>
      </w:tc>
      <w:tc>
        <w:tcPr>
          <w:tcW w:w="0" w:type="auto"/>
        </w:tcPr>
        <w:p w:rsidR="002B4DD2" w:rsidRDefault="002B4DD2" w:rsidP="002B4DD2">
          <w:pPr>
            <w:suppressAutoHyphens/>
            <w:autoSpaceDN w:val="0"/>
            <w:spacing w:after="0" w:line="240" w:lineRule="auto"/>
            <w:jc w:val="center"/>
            <w:rPr>
              <w:noProof/>
              <w:lang w:eastAsia="pl-PL"/>
            </w:rPr>
          </w:pPr>
        </w:p>
      </w:tc>
      <w:tc>
        <w:tcPr>
          <w:tcW w:w="0" w:type="auto"/>
          <w:vAlign w:val="center"/>
        </w:tcPr>
        <w:p w:rsidR="002B4DD2" w:rsidRPr="007F19D8" w:rsidRDefault="002B4DD2" w:rsidP="002B4DD2">
          <w:pPr>
            <w:suppressAutoHyphens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</w:rPr>
          </w:pPr>
        </w:p>
      </w:tc>
      <w:tc>
        <w:tcPr>
          <w:tcW w:w="13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B4DD2" w:rsidRPr="007F19D8" w:rsidRDefault="002B4DD2" w:rsidP="002B4DD2">
          <w:pPr>
            <w:suppressAutoHyphens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</w:rPr>
          </w:pPr>
        </w:p>
      </w:tc>
    </w:tr>
  </w:tbl>
  <w:p w:rsidR="002B4DD2" w:rsidRDefault="002B4DD2" w:rsidP="002B4DD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88A"/>
    <w:multiLevelType w:val="hybridMultilevel"/>
    <w:tmpl w:val="03A89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160A"/>
    <w:multiLevelType w:val="hybridMultilevel"/>
    <w:tmpl w:val="5C0EE544"/>
    <w:lvl w:ilvl="0" w:tplc="0AC43C5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461"/>
    <w:multiLevelType w:val="hybridMultilevel"/>
    <w:tmpl w:val="390A8A84"/>
    <w:lvl w:ilvl="0" w:tplc="58CE62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0B8A"/>
    <w:multiLevelType w:val="hybridMultilevel"/>
    <w:tmpl w:val="E364FB16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D5E"/>
    <w:multiLevelType w:val="hybridMultilevel"/>
    <w:tmpl w:val="E8D4CF02"/>
    <w:lvl w:ilvl="0" w:tplc="FAC0554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0D65"/>
    <w:multiLevelType w:val="hybridMultilevel"/>
    <w:tmpl w:val="AFC6D942"/>
    <w:lvl w:ilvl="0" w:tplc="677C5B60">
      <w:start w:val="4"/>
      <w:numFmt w:val="upperRoman"/>
      <w:lvlText w:val="%1."/>
      <w:lvlJc w:val="right"/>
      <w:pPr>
        <w:ind w:left="72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2DFB"/>
    <w:multiLevelType w:val="hybridMultilevel"/>
    <w:tmpl w:val="6BA87112"/>
    <w:lvl w:ilvl="0" w:tplc="0415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2CC834D4"/>
    <w:multiLevelType w:val="hybridMultilevel"/>
    <w:tmpl w:val="D7B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4481"/>
    <w:multiLevelType w:val="hybridMultilevel"/>
    <w:tmpl w:val="BD04E832"/>
    <w:lvl w:ilvl="0" w:tplc="53A8BD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610EC"/>
    <w:multiLevelType w:val="hybridMultilevel"/>
    <w:tmpl w:val="B350B360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1BAB"/>
    <w:multiLevelType w:val="hybridMultilevel"/>
    <w:tmpl w:val="66123102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0147"/>
    <w:multiLevelType w:val="hybridMultilevel"/>
    <w:tmpl w:val="52CA9646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7973"/>
    <w:multiLevelType w:val="hybridMultilevel"/>
    <w:tmpl w:val="E07EE550"/>
    <w:lvl w:ilvl="0" w:tplc="F0FCB2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35179"/>
    <w:multiLevelType w:val="hybridMultilevel"/>
    <w:tmpl w:val="B706F240"/>
    <w:lvl w:ilvl="0" w:tplc="9AE85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F5961"/>
    <w:multiLevelType w:val="hybridMultilevel"/>
    <w:tmpl w:val="D59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578E"/>
    <w:multiLevelType w:val="hybridMultilevel"/>
    <w:tmpl w:val="596CE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429A2"/>
    <w:multiLevelType w:val="hybridMultilevel"/>
    <w:tmpl w:val="996C3B32"/>
    <w:lvl w:ilvl="0" w:tplc="FAC0554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63242458"/>
    <w:multiLevelType w:val="hybridMultilevel"/>
    <w:tmpl w:val="FABEFBFA"/>
    <w:lvl w:ilvl="0" w:tplc="FAC0554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5D02815"/>
    <w:multiLevelType w:val="hybridMultilevel"/>
    <w:tmpl w:val="56266CD4"/>
    <w:lvl w:ilvl="0" w:tplc="6A3C1F92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E34DE"/>
    <w:multiLevelType w:val="hybridMultilevel"/>
    <w:tmpl w:val="D64E2404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17A8C"/>
    <w:multiLevelType w:val="hybridMultilevel"/>
    <w:tmpl w:val="61347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3556A"/>
    <w:multiLevelType w:val="hybridMultilevel"/>
    <w:tmpl w:val="1A5C9A9A"/>
    <w:lvl w:ilvl="0" w:tplc="041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15"/>
  </w:num>
  <w:num w:numId="9">
    <w:abstractNumId w:val="14"/>
  </w:num>
  <w:num w:numId="10">
    <w:abstractNumId w:val="18"/>
  </w:num>
  <w:num w:numId="11">
    <w:abstractNumId w:val="5"/>
  </w:num>
  <w:num w:numId="12">
    <w:abstractNumId w:val="1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  <w:num w:numId="17">
    <w:abstractNumId w:val="20"/>
  </w:num>
  <w:num w:numId="18">
    <w:abstractNumId w:val="10"/>
  </w:num>
  <w:num w:numId="19">
    <w:abstractNumId w:val="16"/>
  </w:num>
  <w:num w:numId="20">
    <w:abstractNumId w:val="3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98"/>
    <w:rsid w:val="000C655C"/>
    <w:rsid w:val="000F219E"/>
    <w:rsid w:val="00294863"/>
    <w:rsid w:val="002B4DD2"/>
    <w:rsid w:val="002B65D4"/>
    <w:rsid w:val="0032583E"/>
    <w:rsid w:val="00332E7E"/>
    <w:rsid w:val="0036317C"/>
    <w:rsid w:val="003B2505"/>
    <w:rsid w:val="003C28BB"/>
    <w:rsid w:val="00417832"/>
    <w:rsid w:val="00483566"/>
    <w:rsid w:val="00487398"/>
    <w:rsid w:val="004D1FCC"/>
    <w:rsid w:val="004F18F4"/>
    <w:rsid w:val="00513DA9"/>
    <w:rsid w:val="00563526"/>
    <w:rsid w:val="00567710"/>
    <w:rsid w:val="00590830"/>
    <w:rsid w:val="006314A1"/>
    <w:rsid w:val="00635035"/>
    <w:rsid w:val="00636492"/>
    <w:rsid w:val="00647A83"/>
    <w:rsid w:val="00676620"/>
    <w:rsid w:val="00680156"/>
    <w:rsid w:val="00881B57"/>
    <w:rsid w:val="00887052"/>
    <w:rsid w:val="008926AC"/>
    <w:rsid w:val="008D2E88"/>
    <w:rsid w:val="008E2C52"/>
    <w:rsid w:val="009109BB"/>
    <w:rsid w:val="0091272B"/>
    <w:rsid w:val="00961265"/>
    <w:rsid w:val="009745FC"/>
    <w:rsid w:val="009849CC"/>
    <w:rsid w:val="00A02876"/>
    <w:rsid w:val="00A545F2"/>
    <w:rsid w:val="00A636DB"/>
    <w:rsid w:val="00AB2923"/>
    <w:rsid w:val="00B92627"/>
    <w:rsid w:val="00BB658F"/>
    <w:rsid w:val="00BD197D"/>
    <w:rsid w:val="00C1494C"/>
    <w:rsid w:val="00C82393"/>
    <w:rsid w:val="00C90FBA"/>
    <w:rsid w:val="00D2098C"/>
    <w:rsid w:val="00D32531"/>
    <w:rsid w:val="00D72024"/>
    <w:rsid w:val="00E03C00"/>
    <w:rsid w:val="00E06C00"/>
    <w:rsid w:val="00E07607"/>
    <w:rsid w:val="00EA4C6F"/>
    <w:rsid w:val="00EB5BD6"/>
    <w:rsid w:val="00F002B2"/>
    <w:rsid w:val="00F247FD"/>
    <w:rsid w:val="00F32629"/>
    <w:rsid w:val="00F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4DD71E-60FB-48BD-8CBB-4EA31ABB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398"/>
  </w:style>
  <w:style w:type="paragraph" w:styleId="Stopka">
    <w:name w:val="footer"/>
    <w:basedOn w:val="Normalny"/>
    <w:link w:val="StopkaZnak"/>
    <w:uiPriority w:val="99"/>
    <w:unhideWhenUsed/>
    <w:rsid w:val="0048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398"/>
  </w:style>
  <w:style w:type="character" w:styleId="Hipercze">
    <w:name w:val="Hyperlink"/>
    <w:basedOn w:val="Domylnaczcionkaakapitu"/>
    <w:uiPriority w:val="99"/>
    <w:unhideWhenUsed/>
    <w:rsid w:val="00961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5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4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Laskowska</dc:creator>
  <cp:lastModifiedBy>Sekretariat</cp:lastModifiedBy>
  <cp:revision>2</cp:revision>
  <cp:lastPrinted>2017-05-04T15:19:00Z</cp:lastPrinted>
  <dcterms:created xsi:type="dcterms:W3CDTF">2018-11-06T11:51:00Z</dcterms:created>
  <dcterms:modified xsi:type="dcterms:W3CDTF">2018-11-06T11:51:00Z</dcterms:modified>
</cp:coreProperties>
</file>